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21FB" w14:textId="090BB74C" w:rsidR="0091272B" w:rsidRPr="0065098D" w:rsidRDefault="00E757C4" w:rsidP="00E757C4">
      <w:pPr>
        <w:pStyle w:val="Titel"/>
        <w:rPr>
          <w:rFonts w:ascii="RM Pro Light" w:hAnsi="RM Pro Light"/>
        </w:rPr>
      </w:pPr>
      <w:r>
        <w:rPr>
          <w:rFonts w:ascii="RM Pro Light" w:hAnsi="RM Pro Light"/>
        </w:rPr>
        <w:t xml:space="preserve">Texte </w:t>
      </w:r>
      <w:r w:rsidR="006C481E">
        <w:rPr>
          <w:rFonts w:ascii="RM Pro Light" w:hAnsi="RM Pro Light"/>
        </w:rPr>
        <w:t>de cahier des charges</w:t>
      </w:r>
      <w:r>
        <w:rPr>
          <w:rFonts w:ascii="RM Pro Light" w:hAnsi="RM Pro Light"/>
        </w:rPr>
        <w:t>.</w:t>
      </w:r>
      <w:r>
        <w:rPr>
          <w:rFonts w:ascii="RM Pro Light" w:hAnsi="RM Pro Light"/>
          <w:sz w:val="28"/>
          <w:szCs w:val="28"/>
        </w:rPr>
        <w:br/>
        <w:t>W.-C. (toilette) à rinçage automatique pourvu d’un bâti et d’un panneau infrarouge à l’épreuve des vandales et amélioré par un dispositif de détection d’usage et de protection contre les débordements.</w:t>
      </w:r>
    </w:p>
    <w:p w14:paraId="1818CB0A" w14:textId="77777777" w:rsidR="00DD4F08" w:rsidRPr="0065098D" w:rsidRDefault="00DD4F08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53DAAA3B" w14:textId="5979F4CF" w:rsidR="00E757C4" w:rsidRPr="0043704E" w:rsidRDefault="00E757C4" w:rsidP="00E757C4">
      <w:pPr>
        <w:spacing w:before="240" w:after="0" w:line="240" w:lineRule="auto"/>
        <w:rPr>
          <w:rFonts w:ascii="RM Pro Light" w:hAnsi="RM Pro Light"/>
          <w:b/>
        </w:rPr>
      </w:pPr>
      <w:r>
        <w:rPr>
          <w:rFonts w:ascii="RM Pro Light" w:hAnsi="RM Pro Light"/>
          <w:b/>
        </w:rPr>
        <w:t>Caractéristiques:</w:t>
      </w:r>
    </w:p>
    <w:p w14:paraId="06C16AF6" w14:textId="36B18822" w:rsidR="00E757C4" w:rsidRPr="005F1E4D" w:rsidRDefault="00E757C4" w:rsidP="00E757C4">
      <w:pPr>
        <w:pStyle w:val="Lijstalinea"/>
        <w:spacing w:before="240" w:after="0" w:line="240" w:lineRule="auto"/>
        <w:ind w:left="0"/>
        <w:rPr>
          <w:rFonts w:ascii="RM Pro Light" w:hAnsi="RM Pro Light"/>
        </w:rPr>
      </w:pPr>
      <w:r>
        <w:rPr>
          <w:rFonts w:ascii="RM Pro Light" w:hAnsi="RM Pro Light"/>
        </w:rPr>
        <w:t>W.-C. (toilette):</w:t>
      </w:r>
    </w:p>
    <w:p w14:paraId="45310475" w14:textId="6FAF6600" w:rsidR="00E757C4" w:rsidRPr="005F1E4D" w:rsidRDefault="00E757C4" w:rsidP="00CF74FC">
      <w:pPr>
        <w:pStyle w:val="Lijstalinea"/>
        <w:numPr>
          <w:ilvl w:val="0"/>
          <w:numId w:val="1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Cuvette à rinçage intégral </w:t>
      </w:r>
      <w:r w:rsidR="0086410A">
        <w:rPr>
          <w:rFonts w:ascii="RM Pro Light" w:hAnsi="RM Pro Light"/>
        </w:rPr>
        <w:t xml:space="preserve">sans rebord </w:t>
      </w:r>
      <w:r>
        <w:rPr>
          <w:rFonts w:ascii="RM Pro Light" w:hAnsi="RM Pro Light"/>
        </w:rPr>
        <w:t>(EN33, EN997)</w:t>
      </w:r>
    </w:p>
    <w:p w14:paraId="0484D2FA" w14:textId="4D072481" w:rsidR="00E757C4" w:rsidRPr="005F1E4D" w:rsidRDefault="00E757C4" w:rsidP="00CF74FC">
      <w:pPr>
        <w:pStyle w:val="Lijstalinea"/>
        <w:numPr>
          <w:ilvl w:val="0"/>
          <w:numId w:val="1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Muni d’un abattant et d'une lunette en UF</w:t>
      </w:r>
    </w:p>
    <w:p w14:paraId="78D41245" w14:textId="125EF584" w:rsidR="001D4BB1" w:rsidRPr="005F1E4D" w:rsidRDefault="00E757C4" w:rsidP="00CF74FC">
      <w:pPr>
        <w:pStyle w:val="Lijstalinea"/>
        <w:numPr>
          <w:ilvl w:val="0"/>
          <w:numId w:val="1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Abattant et lunette soft-close et quick release</w:t>
      </w:r>
    </w:p>
    <w:p w14:paraId="35A732E4" w14:textId="53C05F82" w:rsidR="00E757C4" w:rsidRPr="005F1E4D" w:rsidRDefault="00E757C4" w:rsidP="00E757C4">
      <w:pPr>
        <w:pStyle w:val="Lijstalinea"/>
        <w:spacing w:before="240" w:after="0" w:line="240" w:lineRule="auto"/>
        <w:ind w:left="0"/>
        <w:rPr>
          <w:rFonts w:ascii="RM Pro Light" w:hAnsi="RM Pro Light"/>
        </w:rPr>
      </w:pPr>
      <w:r>
        <w:rPr>
          <w:rFonts w:ascii="RM Pro Light" w:hAnsi="RM Pro Light"/>
        </w:rPr>
        <w:t>Capteur de surveillance:</w:t>
      </w:r>
    </w:p>
    <w:p w14:paraId="6A581231" w14:textId="6614C35B" w:rsidR="00E757C4" w:rsidRPr="005F1E4D" w:rsidRDefault="00E757C4" w:rsidP="00CF74FC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Détection du niveau d’eau et de la concentration d’urine dans le siphon permettant une reconnaissance précise de l’usage de cet équipement</w:t>
      </w:r>
      <w:r w:rsidR="001F627F">
        <w:rPr>
          <w:rFonts w:ascii="RM Pro Light" w:hAnsi="RM Pro Light"/>
        </w:rPr>
        <w:t xml:space="preserve"> </w:t>
      </w:r>
      <w:r w:rsidR="001F627F">
        <w:rPr>
          <w:rFonts w:ascii="RM Pro Light" w:hAnsi="RM Pro Light"/>
          <w:color w:val="212121"/>
        </w:rPr>
        <w:t xml:space="preserve">par </w:t>
      </w:r>
      <w:r w:rsidR="001F627F" w:rsidRPr="001F627F">
        <w:rPr>
          <w:rFonts w:ascii="RM Pro Light" w:eastAsia="Times New Roman" w:hAnsi="RM Pro Light" w:cs="Courier New"/>
          <w:color w:val="212121"/>
          <w:lang w:eastAsia="nl-BE"/>
        </w:rPr>
        <w:t>Tuned Rf technology.</w:t>
      </w:r>
    </w:p>
    <w:p w14:paraId="4FBED8F0" w14:textId="7CD0CF9C" w:rsidR="00E757C4" w:rsidRPr="005F1E4D" w:rsidRDefault="00E757C4" w:rsidP="00CF74FC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Aucun rinçage automatique lorsque le W.-C. est inoccupé</w:t>
      </w:r>
    </w:p>
    <w:p w14:paraId="679541AE" w14:textId="44EE2D74" w:rsidR="00E757C4" w:rsidRPr="005F1E4D" w:rsidRDefault="00E757C4" w:rsidP="00CF74FC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Protection contre les débordements : </w:t>
      </w:r>
      <w:r w:rsidR="003F618C" w:rsidRPr="00A60E79">
        <w:rPr>
          <w:rFonts w:ascii="RM Pro Light" w:hAnsi="RM Pro Light"/>
        </w:rPr>
        <w:t xml:space="preserve">arrêt automatique du rinçage en cas de </w:t>
      </w:r>
      <w:r w:rsidR="003F618C">
        <w:rPr>
          <w:rFonts w:ascii="RM Pro Light" w:hAnsi="RM Pro Light"/>
        </w:rPr>
        <w:t>blocage</w:t>
      </w:r>
      <w:r w:rsidR="003F618C" w:rsidRPr="00A60E79">
        <w:rPr>
          <w:rFonts w:ascii="RM Pro Light" w:hAnsi="RM Pro Light"/>
        </w:rPr>
        <w:t xml:space="preserve"> </w:t>
      </w:r>
      <w:r w:rsidR="003F618C" w:rsidRPr="00327DEB">
        <w:rPr>
          <w:rFonts w:ascii="RM Pro Light" w:hAnsi="RM Pro Light"/>
        </w:rPr>
        <w:t>du drain ou des tuyaux de drainage</w:t>
      </w:r>
    </w:p>
    <w:p w14:paraId="6405AFE3" w14:textId="70B36252" w:rsidR="00E757C4" w:rsidRPr="005F1E4D" w:rsidRDefault="00E757C4" w:rsidP="00CF74FC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Capteur monté à l’extérieur du siphon</w:t>
      </w:r>
    </w:p>
    <w:p w14:paraId="2A5F9F99" w14:textId="77777777" w:rsidR="00CF74FC" w:rsidRPr="0005131E" w:rsidRDefault="00CF74FC" w:rsidP="00CF74FC">
      <w:pPr>
        <w:pStyle w:val="Lijstaline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F20C3F">
        <w:rPr>
          <w:rFonts w:ascii="RM Pro Light" w:hAnsi="RM Pro Light"/>
          <w:color w:val="212121"/>
        </w:rPr>
        <w:t>Système</w:t>
      </w:r>
      <w:r w:rsidRPr="0005131E">
        <w:rPr>
          <w:rFonts w:ascii="RM Pro Light" w:hAnsi="RM Pro Light"/>
          <w:color w:val="212121"/>
        </w:rPr>
        <w:t xml:space="preserve"> sans entretien grâce à la détection non invasive</w:t>
      </w:r>
    </w:p>
    <w:p w14:paraId="3EB36CDE" w14:textId="26104088" w:rsidR="00E757C4" w:rsidRPr="005F1E4D" w:rsidRDefault="00E757C4" w:rsidP="00CF74FC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Système de détection à l’épreuve des vandales, dissimulé au regard des utilisateurs</w:t>
      </w:r>
    </w:p>
    <w:p w14:paraId="04644C41" w14:textId="4FF68072" w:rsidR="00E757C4" w:rsidRPr="005F1E4D" w:rsidRDefault="003F618C" w:rsidP="00CF74FC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Calibration</w:t>
      </w:r>
      <w:r w:rsidR="00E757C4">
        <w:rPr>
          <w:rFonts w:ascii="RM Pro Light" w:hAnsi="RM Pro Light"/>
        </w:rPr>
        <w:t xml:space="preserve"> automatique</w:t>
      </w:r>
    </w:p>
    <w:p w14:paraId="014966D4" w14:textId="7E3579A2" w:rsidR="00E757C4" w:rsidRPr="005F1E4D" w:rsidRDefault="00E757C4" w:rsidP="00CF74FC">
      <w:pPr>
        <w:pStyle w:val="Lijstalinea"/>
        <w:numPr>
          <w:ilvl w:val="0"/>
          <w:numId w:val="2"/>
        </w:numPr>
        <w:spacing w:before="240"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Module E appartenant à la classe de protection IP67</w:t>
      </w:r>
    </w:p>
    <w:p w14:paraId="52D44784" w14:textId="428719A6" w:rsidR="00E757C4" w:rsidRPr="005F1E4D" w:rsidRDefault="00E757C4" w:rsidP="00E75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Bâti:</w:t>
      </w:r>
    </w:p>
    <w:p w14:paraId="34C88572" w14:textId="4229EE34" w:rsidR="00E757C4" w:rsidRPr="005F1E4D" w:rsidRDefault="00E757C4" w:rsidP="00CF74FC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Réservoir d’eau et bâti autoporteur encastrés (EN14055, NF D12-208)</w:t>
      </w:r>
    </w:p>
    <w:p w14:paraId="0BB42EE0" w14:textId="661FEE95" w:rsidR="00E757C4" w:rsidRPr="005F1E4D" w:rsidRDefault="00E757C4" w:rsidP="00CF74FC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Double rinçage (3/6 l)</w:t>
      </w:r>
    </w:p>
    <w:p w14:paraId="1A76ED4B" w14:textId="0837BBAD" w:rsidR="00E757C4" w:rsidRPr="005F1E4D" w:rsidRDefault="00E757C4" w:rsidP="00CF74FC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Volume de rinçage réglable (6 à 7,5 l)</w:t>
      </w:r>
    </w:p>
    <w:p w14:paraId="5F7A0646" w14:textId="7721F97A" w:rsidR="00E757C4" w:rsidRPr="005F1E4D" w:rsidRDefault="00E757C4" w:rsidP="00CF74FC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Réservoir d’eau isolé, à l’abri de la condensation</w:t>
      </w:r>
    </w:p>
    <w:p w14:paraId="674F95D3" w14:textId="13E937BF" w:rsidR="00E757C4" w:rsidRPr="005F1E4D" w:rsidRDefault="00E757C4" w:rsidP="00CF74FC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Vanne à bille hydraulique à faible niveau de bruit montée dans le réservoir de la chasse d’eau</w:t>
      </w:r>
    </w:p>
    <w:p w14:paraId="61033088" w14:textId="703246E8" w:rsidR="001D4BB1" w:rsidRPr="005F1E4D" w:rsidRDefault="00E757C4" w:rsidP="00CF74FC">
      <w:pPr>
        <w:pStyle w:val="Lijstaline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Adaptateur d’alimentation électrique destiné au panneau IR</w:t>
      </w:r>
    </w:p>
    <w:p w14:paraId="22EC8AE3" w14:textId="53EFCFBE" w:rsidR="00E757C4" w:rsidRPr="005F1E4D" w:rsidRDefault="00E757C4" w:rsidP="00E75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Panneau de commande infrarouge:</w:t>
      </w:r>
    </w:p>
    <w:p w14:paraId="6798FAE8" w14:textId="3AC7690C" w:rsidR="00E757C4" w:rsidRPr="005F1E4D" w:rsidRDefault="00E757C4" w:rsidP="00CF74FC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Solution hygiénique de rinçage infrarouge sans intervention manuelle</w:t>
      </w:r>
    </w:p>
    <w:p w14:paraId="72DE8B51" w14:textId="5271B194" w:rsidR="00E757C4" w:rsidRPr="005F1E4D" w:rsidRDefault="00E757C4" w:rsidP="00CF74FC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Fixation à l’épreuve des vandales</w:t>
      </w:r>
    </w:p>
    <w:p w14:paraId="5E9397FD" w14:textId="63BBD146" w:rsidR="00E757C4" w:rsidRPr="005F1E4D" w:rsidRDefault="00E757C4" w:rsidP="00CF74FC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Acier inoxydable pour une durabilité accrue</w:t>
      </w:r>
    </w:p>
    <w:p w14:paraId="5F3A9E99" w14:textId="3C39A71D" w:rsidR="00E757C4" w:rsidRPr="005F1E4D" w:rsidRDefault="00AC35D6" w:rsidP="00CF74FC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Deux volumes de rinçage</w:t>
      </w:r>
    </w:p>
    <w:p w14:paraId="20A10BDD" w14:textId="77777777" w:rsidR="0065098D" w:rsidRPr="005F1E4D" w:rsidRDefault="00E757C4" w:rsidP="00CF74FC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Rinçage hygiénique en cas d’absence d’utilisation pendant une durée supérieure à 24 heures</w:t>
      </w:r>
    </w:p>
    <w:p w14:paraId="5F8DD263" w14:textId="28716CCB" w:rsidR="00E757C4" w:rsidRPr="005F1E4D" w:rsidRDefault="0065098D" w:rsidP="00CF74FC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 xml:space="preserve">Rinçage automatique après usage, rinçage manuel possible </w:t>
      </w:r>
    </w:p>
    <w:p w14:paraId="5147FF15" w14:textId="77777777" w:rsidR="00290127" w:rsidRPr="000C4525" w:rsidRDefault="00290127" w:rsidP="00AD5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highlight w:val="yellow"/>
          <w:lang w:val="fr-FR" w:eastAsia="nl-BE"/>
        </w:rPr>
      </w:pPr>
    </w:p>
    <w:p w14:paraId="3BEAF9AA" w14:textId="32018F14" w:rsidR="00AD5095" w:rsidRPr="0043704E" w:rsidRDefault="004B7349" w:rsidP="00AD5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b/>
          <w:color w:val="212121"/>
        </w:rPr>
      </w:pPr>
      <w:r>
        <w:rPr>
          <w:rFonts w:ascii="RM Pro Light" w:hAnsi="RM Pro Light"/>
          <w:b/>
          <w:color w:val="212121"/>
        </w:rPr>
        <w:t>Fournitures:</w:t>
      </w:r>
    </w:p>
    <w:p w14:paraId="79D7D30D" w14:textId="77777777" w:rsidR="00290127" w:rsidRPr="005F1E4D" w:rsidRDefault="00290127" w:rsidP="00AD5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</w:p>
    <w:p w14:paraId="4078D569" w14:textId="705120DF" w:rsidR="00AD5095" w:rsidRPr="005F1E4D" w:rsidRDefault="00AD5095" w:rsidP="00CF74FC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W.-C. (toilette)</w:t>
      </w:r>
    </w:p>
    <w:p w14:paraId="769FF123" w14:textId="5062EE8A" w:rsidR="00AD5095" w:rsidRPr="005F1E4D" w:rsidRDefault="00AD5095" w:rsidP="00CF74FC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Module électronique préalablement installé</w:t>
      </w:r>
    </w:p>
    <w:p w14:paraId="70F2BD4E" w14:textId="2D3CA38E" w:rsidR="00AD5095" w:rsidRPr="005F1E4D" w:rsidRDefault="00AD5095" w:rsidP="00CF74FC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Abattant et lunette</w:t>
      </w:r>
    </w:p>
    <w:p w14:paraId="2B554143" w14:textId="6E089782" w:rsidR="00AD5095" w:rsidRPr="005F1E4D" w:rsidRDefault="00AD5095" w:rsidP="00CF74FC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Matériel de fixation du W.-C. (toilette)</w:t>
      </w:r>
    </w:p>
    <w:p w14:paraId="00B57EC9" w14:textId="35050A47" w:rsidR="00AD5095" w:rsidRPr="005F1E4D" w:rsidRDefault="00AD5095" w:rsidP="00CF74FC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Bâti de montage et réservoir d’eau</w:t>
      </w:r>
    </w:p>
    <w:p w14:paraId="4DCD9785" w14:textId="3630F631" w:rsidR="00AD5095" w:rsidRPr="005F1E4D" w:rsidRDefault="00AD5095" w:rsidP="00CF74FC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Panneau de commande infrarouge</w:t>
      </w:r>
    </w:p>
    <w:p w14:paraId="56CFB6CF" w14:textId="77777777" w:rsidR="001D4BB1" w:rsidRPr="005F1E4D" w:rsidRDefault="00AD5095" w:rsidP="00CF74FC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Adaptateur d’alimentation électrique</w:t>
      </w:r>
    </w:p>
    <w:p w14:paraId="5E04B679" w14:textId="79A502E1" w:rsidR="00AD5095" w:rsidRPr="005F1E4D" w:rsidRDefault="001D4BB1" w:rsidP="00CF74FC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lastRenderedPageBreak/>
        <w:t>Consignes d’installation et gabarit de perçage</w:t>
      </w:r>
    </w:p>
    <w:p w14:paraId="75D927A8" w14:textId="3D19DF33" w:rsidR="00AD5095" w:rsidRPr="005F1E4D" w:rsidRDefault="00AD5095" w:rsidP="00CF74FC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Coude d’évacuation à 90° en PE muni d’une réduction de 90 x 110 mm.</w:t>
      </w:r>
    </w:p>
    <w:p w14:paraId="1FA75C4D" w14:textId="152EE154" w:rsidR="005F1E4D" w:rsidRDefault="001D4BB1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  <w:r>
        <w:rPr>
          <w:rFonts w:ascii="RM Pro Light" w:hAnsi="RM Pro Light"/>
        </w:rPr>
        <w:br/>
      </w:r>
    </w:p>
    <w:p w14:paraId="6141861A" w14:textId="00DAD10E" w:rsidR="001D4BB1" w:rsidRPr="0043704E" w:rsidRDefault="001D4BB1" w:rsidP="005003CF">
      <w:pPr>
        <w:pStyle w:val="Lijstalinea"/>
        <w:spacing w:after="0" w:line="240" w:lineRule="auto"/>
        <w:ind w:left="0"/>
        <w:rPr>
          <w:rFonts w:ascii="RM Pro Light" w:hAnsi="RM Pro Light"/>
          <w:b/>
        </w:rPr>
      </w:pPr>
      <w:r>
        <w:rPr>
          <w:rFonts w:ascii="RM Pro Light" w:hAnsi="RM Pro Light"/>
          <w:b/>
        </w:rPr>
        <w:t xml:space="preserve">Caractéristiques techniques: </w:t>
      </w:r>
    </w:p>
    <w:p w14:paraId="162537A4" w14:textId="77777777" w:rsidR="00290127" w:rsidRPr="005F1E4D" w:rsidRDefault="00290127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25A79B82" w14:textId="38E7792A" w:rsidR="001D4BB1" w:rsidRPr="005F1E4D" w:rsidRDefault="005F1E4D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Matériau constitutif de la cuvette : céramique blanche </w:t>
      </w:r>
    </w:p>
    <w:p w14:paraId="338E27B4" w14:textId="19DDDC52" w:rsidR="001D4BB1" w:rsidRPr="005F1E4D" w:rsidRDefault="001D4BB1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Matériau constitutif du panneau infrarouge : acier inoxydable brossé </w:t>
      </w:r>
    </w:p>
    <w:p w14:paraId="6918C5AA" w14:textId="4A7FF318" w:rsidR="001D4BB1" w:rsidRPr="005F1E4D" w:rsidRDefault="001D4BB1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Raccordement à une alimentation secteur de 100 à 240 V et de 50 ou 60 Hz </w:t>
      </w:r>
    </w:p>
    <w:p w14:paraId="1F6E8123" w14:textId="77777777" w:rsidR="002F5F45" w:rsidRDefault="001D4BB1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Raccordement de l’arrivée d’eau : G 1/2 " </w:t>
      </w:r>
    </w:p>
    <w:p w14:paraId="7220096C" w14:textId="1D48D3AE" w:rsidR="001D4BB1" w:rsidRPr="005F1E4D" w:rsidRDefault="001D4BB1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Raccordement de l’évacuation : ø 90 mm </w:t>
      </w:r>
    </w:p>
    <w:p w14:paraId="26F9CD8C" w14:textId="77777777" w:rsidR="00E200F3" w:rsidRPr="005F1E4D" w:rsidRDefault="001D4BB1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Équipement prêt au raccordement à une canalisation d’égout en matière synthétique</w:t>
      </w:r>
    </w:p>
    <w:p w14:paraId="4180C9D1" w14:textId="6BCA25E1" w:rsidR="001D4BB1" w:rsidRPr="005F1E4D" w:rsidRDefault="00E200F3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Capacité de charge du W.-C. (toilette) et du bâti : 413 kg </w:t>
      </w:r>
    </w:p>
    <w:p w14:paraId="59679983" w14:textId="268AAE71" w:rsidR="001D4BB1" w:rsidRPr="005F1E4D" w:rsidRDefault="001D4BB1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Dimensions du W.-C. (toilette) : 365 x 550 x 350 mm (larg. x haut. x prof.) </w:t>
      </w:r>
    </w:p>
    <w:p w14:paraId="6503BE67" w14:textId="77777777" w:rsidR="00290127" w:rsidRPr="005F1E4D" w:rsidRDefault="001D4BB1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Dimensions du bâti : 380 x 1.000-1.180 x 140-200 mm (larg. x haut. x prof.) </w:t>
      </w:r>
    </w:p>
    <w:p w14:paraId="1141D84C" w14:textId="5BAC59D2" w:rsidR="001D4BB1" w:rsidRPr="005F1E4D" w:rsidRDefault="001D4BB1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Dimensions du panneau infrarouge : 160 x 160 mm (larg. x haut.) </w:t>
      </w:r>
    </w:p>
    <w:p w14:paraId="63DC05FE" w14:textId="40E3531C" w:rsidR="00200A49" w:rsidRPr="005F1E4D" w:rsidRDefault="001D4BB1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Poids de la cuvette : 26 kg</w:t>
      </w:r>
    </w:p>
    <w:p w14:paraId="6BF8201F" w14:textId="51CA583F" w:rsidR="00E200F3" w:rsidRPr="005F1E4D" w:rsidRDefault="00E200F3" w:rsidP="00CF74FC">
      <w:pPr>
        <w:pStyle w:val="Lijstalinea"/>
        <w:numPr>
          <w:ilvl w:val="0"/>
          <w:numId w:val="6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Poids du bâti et du panneau infrarouge : 13 kg</w:t>
      </w:r>
    </w:p>
    <w:p w14:paraId="21D64B54" w14:textId="77777777" w:rsidR="001D4BB1" w:rsidRPr="005F1E4D" w:rsidRDefault="001D4BB1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2E749454" w14:textId="77777777" w:rsidR="00200A49" w:rsidRPr="005F1E4D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sectPr w:rsidR="00200A49" w:rsidRPr="005F1E4D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DC3E" w14:textId="77777777" w:rsidR="005F069D" w:rsidRDefault="005F069D" w:rsidP="00E52059">
      <w:pPr>
        <w:spacing w:after="0" w:line="240" w:lineRule="auto"/>
      </w:pPr>
      <w:r>
        <w:separator/>
      </w:r>
    </w:p>
  </w:endnote>
  <w:endnote w:type="continuationSeparator" w:id="0">
    <w:p w14:paraId="3C072BE6" w14:textId="77777777" w:rsidR="005F069D" w:rsidRDefault="005F069D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4AFD" w14:textId="77777777" w:rsidR="005F069D" w:rsidRDefault="005F069D" w:rsidP="00E52059">
      <w:pPr>
        <w:spacing w:after="0" w:line="240" w:lineRule="auto"/>
      </w:pPr>
      <w:r>
        <w:separator/>
      </w:r>
    </w:p>
  </w:footnote>
  <w:footnote w:type="continuationSeparator" w:id="0">
    <w:p w14:paraId="6C38B302" w14:textId="77777777" w:rsidR="005F069D" w:rsidRDefault="005F069D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3"/>
      <w:gridCol w:w="1404"/>
      <w:gridCol w:w="6515"/>
    </w:tblGrid>
    <w:tr w:rsidR="009F62D0" w:rsidRPr="001D1863" w14:paraId="066F65C9" w14:textId="77777777" w:rsidTr="001D1863">
      <w:tc>
        <w:tcPr>
          <w:tcW w:w="1143" w:type="dxa"/>
        </w:tcPr>
        <w:p w14:paraId="2143B2D6" w14:textId="3D8B241C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4"/>
              <w:szCs w:val="24"/>
            </w:rPr>
          </w:pPr>
        </w:p>
      </w:tc>
      <w:tc>
        <w:tcPr>
          <w:tcW w:w="7919" w:type="dxa"/>
          <w:gridSpan w:val="2"/>
        </w:tcPr>
        <w:p w14:paraId="3D307117" w14:textId="430F027E" w:rsidR="009F62D0" w:rsidRPr="001D1863" w:rsidRDefault="009F62D0" w:rsidP="009F62D0">
          <w:pPr>
            <w:pStyle w:val="Koptekst"/>
            <w:rPr>
              <w:rFonts w:ascii="Sofia Pro Light" w:hAnsi="Sofia Pro Light"/>
              <w:sz w:val="24"/>
              <w:szCs w:val="24"/>
            </w:rPr>
          </w:pPr>
        </w:p>
      </w:tc>
    </w:tr>
    <w:tr w:rsidR="009F62D0" w:rsidRPr="001D1863" w14:paraId="76EF7474" w14:textId="77777777" w:rsidTr="001D1863">
      <w:tc>
        <w:tcPr>
          <w:tcW w:w="1143" w:type="dxa"/>
        </w:tcPr>
        <w:p w14:paraId="7AA08F1B" w14:textId="05BF8D9B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0"/>
              <w:szCs w:val="20"/>
            </w:rPr>
          </w:pPr>
        </w:p>
      </w:tc>
      <w:tc>
        <w:tcPr>
          <w:tcW w:w="1404" w:type="dxa"/>
        </w:tcPr>
        <w:p w14:paraId="7C9EFCC2" w14:textId="6B0A5082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0"/>
              <w:szCs w:val="20"/>
            </w:rPr>
          </w:pPr>
        </w:p>
      </w:tc>
      <w:tc>
        <w:tcPr>
          <w:tcW w:w="6515" w:type="dxa"/>
        </w:tcPr>
        <w:p w14:paraId="7A53ABB7" w14:textId="62CCEF6F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0"/>
              <w:szCs w:val="20"/>
            </w:rPr>
          </w:pPr>
        </w:p>
      </w:tc>
    </w:tr>
    <w:tr w:rsidR="009F62D0" w:rsidRPr="001D1863" w14:paraId="3B46AF46" w14:textId="77777777" w:rsidTr="001D1863">
      <w:tc>
        <w:tcPr>
          <w:tcW w:w="1143" w:type="dxa"/>
        </w:tcPr>
        <w:p w14:paraId="5B537269" w14:textId="0B27FAA2" w:rsidR="009F62D0" w:rsidRPr="001D1863" w:rsidRDefault="009F62D0" w:rsidP="00F33F28">
          <w:pPr>
            <w:pStyle w:val="Koptekst"/>
            <w:jc w:val="center"/>
            <w:rPr>
              <w:rFonts w:ascii="Sofia Pro Light" w:hAnsi="Sofia Pro Light"/>
              <w:sz w:val="20"/>
              <w:szCs w:val="20"/>
            </w:rPr>
          </w:pPr>
        </w:p>
      </w:tc>
      <w:tc>
        <w:tcPr>
          <w:tcW w:w="1404" w:type="dxa"/>
        </w:tcPr>
        <w:p w14:paraId="2B59121E" w14:textId="6E353B11" w:rsidR="009F62D0" w:rsidRPr="001D1863" w:rsidRDefault="009F62D0" w:rsidP="009F62D0">
          <w:pPr>
            <w:pStyle w:val="Koptekst"/>
            <w:rPr>
              <w:rFonts w:ascii="Sofia Pro Light" w:hAnsi="Sofia Pro Light"/>
              <w:sz w:val="20"/>
              <w:szCs w:val="20"/>
            </w:rPr>
          </w:pPr>
        </w:p>
      </w:tc>
      <w:tc>
        <w:tcPr>
          <w:tcW w:w="6515" w:type="dxa"/>
        </w:tcPr>
        <w:p w14:paraId="1318D8ED" w14:textId="20A828E2" w:rsidR="009F62D0" w:rsidRPr="001D1863" w:rsidRDefault="009F62D0" w:rsidP="009F62D0">
          <w:pPr>
            <w:pStyle w:val="Koptekst"/>
            <w:rPr>
              <w:rFonts w:ascii="Sofia Pro Light" w:hAnsi="Sofia Pro Light"/>
              <w:sz w:val="20"/>
              <w:szCs w:val="20"/>
            </w:rPr>
          </w:pPr>
        </w:p>
      </w:tc>
    </w:tr>
  </w:tbl>
  <w:p w14:paraId="21BEEC98" w14:textId="77777777" w:rsidR="00E52059" w:rsidRDefault="00E52059" w:rsidP="00DD4F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0EF"/>
    <w:multiLevelType w:val="hybridMultilevel"/>
    <w:tmpl w:val="F23ED52C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E72"/>
    <w:multiLevelType w:val="hybridMultilevel"/>
    <w:tmpl w:val="306AC2BC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4137"/>
    <w:multiLevelType w:val="hybridMultilevel"/>
    <w:tmpl w:val="3988A246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267E9"/>
    <w:multiLevelType w:val="hybridMultilevel"/>
    <w:tmpl w:val="4CCC81DE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17CA"/>
    <w:multiLevelType w:val="hybridMultilevel"/>
    <w:tmpl w:val="C294216E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26160"/>
    <w:multiLevelType w:val="hybridMultilevel"/>
    <w:tmpl w:val="BC8AA60E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2491"/>
    <w:multiLevelType w:val="hybridMultilevel"/>
    <w:tmpl w:val="35C8B300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00611"/>
    <w:rsid w:val="00016DBB"/>
    <w:rsid w:val="000637AC"/>
    <w:rsid w:val="00070622"/>
    <w:rsid w:val="00083A01"/>
    <w:rsid w:val="000C4525"/>
    <w:rsid w:val="000E2342"/>
    <w:rsid w:val="000E43D6"/>
    <w:rsid w:val="000F2C80"/>
    <w:rsid w:val="00124451"/>
    <w:rsid w:val="00127A8A"/>
    <w:rsid w:val="001339F6"/>
    <w:rsid w:val="00141F83"/>
    <w:rsid w:val="00151A0D"/>
    <w:rsid w:val="0017447F"/>
    <w:rsid w:val="00180954"/>
    <w:rsid w:val="001C2E49"/>
    <w:rsid w:val="001D1863"/>
    <w:rsid w:val="001D4BB1"/>
    <w:rsid w:val="001E43AC"/>
    <w:rsid w:val="001F3AD1"/>
    <w:rsid w:val="001F627F"/>
    <w:rsid w:val="00200A49"/>
    <w:rsid w:val="00231889"/>
    <w:rsid w:val="002435B7"/>
    <w:rsid w:val="00245CF9"/>
    <w:rsid w:val="00252BB7"/>
    <w:rsid w:val="0026258A"/>
    <w:rsid w:val="00290127"/>
    <w:rsid w:val="002A286E"/>
    <w:rsid w:val="002C0297"/>
    <w:rsid w:val="002D554B"/>
    <w:rsid w:val="002F5F45"/>
    <w:rsid w:val="00301CE8"/>
    <w:rsid w:val="0030799F"/>
    <w:rsid w:val="003774E0"/>
    <w:rsid w:val="00381295"/>
    <w:rsid w:val="0039551A"/>
    <w:rsid w:val="003B6CA3"/>
    <w:rsid w:val="003F618C"/>
    <w:rsid w:val="003F6BA7"/>
    <w:rsid w:val="00434A9F"/>
    <w:rsid w:val="0043704E"/>
    <w:rsid w:val="004A5551"/>
    <w:rsid w:val="004B7349"/>
    <w:rsid w:val="005003CF"/>
    <w:rsid w:val="005027D3"/>
    <w:rsid w:val="00504127"/>
    <w:rsid w:val="005462D2"/>
    <w:rsid w:val="005564C9"/>
    <w:rsid w:val="00566C75"/>
    <w:rsid w:val="005E0096"/>
    <w:rsid w:val="005F069D"/>
    <w:rsid w:val="005F1E4D"/>
    <w:rsid w:val="0062393D"/>
    <w:rsid w:val="0064317D"/>
    <w:rsid w:val="0065098D"/>
    <w:rsid w:val="006A78D1"/>
    <w:rsid w:val="006C481E"/>
    <w:rsid w:val="006D2178"/>
    <w:rsid w:val="0070168A"/>
    <w:rsid w:val="00753EFE"/>
    <w:rsid w:val="00770BD2"/>
    <w:rsid w:val="007A0CE2"/>
    <w:rsid w:val="007B1577"/>
    <w:rsid w:val="007D50F4"/>
    <w:rsid w:val="007F0302"/>
    <w:rsid w:val="00815F66"/>
    <w:rsid w:val="008634DE"/>
    <w:rsid w:val="0086410A"/>
    <w:rsid w:val="00892C7B"/>
    <w:rsid w:val="008E3523"/>
    <w:rsid w:val="0091272B"/>
    <w:rsid w:val="00945A33"/>
    <w:rsid w:val="00953A43"/>
    <w:rsid w:val="00955E12"/>
    <w:rsid w:val="009C352B"/>
    <w:rsid w:val="009F62D0"/>
    <w:rsid w:val="009F6B5B"/>
    <w:rsid w:val="00A872C6"/>
    <w:rsid w:val="00AA76FF"/>
    <w:rsid w:val="00AC35D6"/>
    <w:rsid w:val="00AD44AA"/>
    <w:rsid w:val="00AD5095"/>
    <w:rsid w:val="00AF7957"/>
    <w:rsid w:val="00B33596"/>
    <w:rsid w:val="00B36650"/>
    <w:rsid w:val="00B61E24"/>
    <w:rsid w:val="00B67E23"/>
    <w:rsid w:val="00B7239B"/>
    <w:rsid w:val="00B7554C"/>
    <w:rsid w:val="00B934A0"/>
    <w:rsid w:val="00BD7886"/>
    <w:rsid w:val="00C14406"/>
    <w:rsid w:val="00C54E6A"/>
    <w:rsid w:val="00C6431E"/>
    <w:rsid w:val="00C70CE8"/>
    <w:rsid w:val="00C76D28"/>
    <w:rsid w:val="00C96539"/>
    <w:rsid w:val="00CA3F6B"/>
    <w:rsid w:val="00CD088A"/>
    <w:rsid w:val="00CD6853"/>
    <w:rsid w:val="00CF74FC"/>
    <w:rsid w:val="00D27449"/>
    <w:rsid w:val="00D30F7C"/>
    <w:rsid w:val="00D729A0"/>
    <w:rsid w:val="00D974B1"/>
    <w:rsid w:val="00DD0E44"/>
    <w:rsid w:val="00DD4F08"/>
    <w:rsid w:val="00DF4FA5"/>
    <w:rsid w:val="00E200F3"/>
    <w:rsid w:val="00E3253F"/>
    <w:rsid w:val="00E3411F"/>
    <w:rsid w:val="00E52059"/>
    <w:rsid w:val="00E67B8C"/>
    <w:rsid w:val="00E757C4"/>
    <w:rsid w:val="00E979A7"/>
    <w:rsid w:val="00EA664F"/>
    <w:rsid w:val="00ED2089"/>
    <w:rsid w:val="00F33F28"/>
    <w:rsid w:val="00F403CF"/>
    <w:rsid w:val="00F65CBF"/>
    <w:rsid w:val="00F82C1C"/>
    <w:rsid w:val="00FC2A8D"/>
    <w:rsid w:val="00FC762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C3D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0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059"/>
  </w:style>
  <w:style w:type="paragraph" w:styleId="Voettekst">
    <w:name w:val="footer"/>
    <w:basedOn w:val="Standaard"/>
    <w:link w:val="Voet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059"/>
  </w:style>
  <w:style w:type="table" w:styleId="Tabelraster">
    <w:name w:val="Table Grid"/>
    <w:basedOn w:val="Standaardtabe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D4F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4F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D5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D5095"/>
    <w:rPr>
      <w:rFonts w:ascii="Courier New" w:eastAsia="Times New Roman" w:hAnsi="Courier New" w:cs="Courier New"/>
      <w:sz w:val="20"/>
      <w:szCs w:val="20"/>
      <w:lang w:val="fr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45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45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45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45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4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7B7E-4248-4839-8D3A-2925DD33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2019-08-07T10:36:00Z</dcterms:created>
  <dcterms:modified xsi:type="dcterms:W3CDTF">2021-11-25T14:49:00Z</dcterms:modified>
</cp:coreProperties>
</file>